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C9D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450" w:lineRule="atLeast"/>
        <w:ind w:left="0" w:right="0" w:firstLine="0"/>
        <w:jc w:val="center"/>
        <w:rPr>
          <w:rFonts w:hint="eastAsia" w:ascii="宋体" w:hAnsi="宋体" w:eastAsia="宋体" w:cs="宋体"/>
          <w:i w:val="0"/>
          <w:caps w:val="0"/>
          <w:color w:val="4C5157"/>
          <w:spacing w:val="0"/>
          <w:sz w:val="24"/>
          <w:szCs w:val="24"/>
          <w:u w:val="none"/>
        </w:rPr>
      </w:pPr>
      <w:r>
        <w:rPr>
          <w:rFonts w:hint="eastAsia" w:ascii="宋体" w:hAnsi="宋体" w:eastAsia="宋体" w:cs="宋体"/>
          <w:i w:val="0"/>
          <w:caps w:val="0"/>
          <w:color w:val="4C5157"/>
          <w:spacing w:val="0"/>
          <w:sz w:val="24"/>
          <w:szCs w:val="24"/>
          <w:u w:val="none"/>
          <w:shd w:val="clear" w:color="auto" w:fill="FFFFFF"/>
        </w:rPr>
        <w:t>海南省人民代表大会常务委员会</w:t>
      </w:r>
      <w:r>
        <w:rPr>
          <w:rFonts w:hint="eastAsia" w:ascii="宋体" w:hAnsi="宋体" w:eastAsia="宋体" w:cs="宋体"/>
          <w:i w:val="0"/>
          <w:caps w:val="0"/>
          <w:color w:val="4C5157"/>
          <w:spacing w:val="0"/>
          <w:sz w:val="24"/>
          <w:szCs w:val="24"/>
          <w:u w:val="none"/>
          <w:shd w:val="clear" w:color="auto" w:fill="FFFFFF"/>
        </w:rPr>
        <w:br w:type="textWrapping"/>
      </w:r>
      <w:r>
        <w:rPr>
          <w:rFonts w:hint="eastAsia" w:ascii="宋体" w:hAnsi="宋体" w:eastAsia="宋体" w:cs="宋体"/>
          <w:i w:val="0"/>
          <w:caps w:val="0"/>
          <w:color w:val="4C5157"/>
          <w:spacing w:val="0"/>
          <w:sz w:val="24"/>
          <w:szCs w:val="24"/>
          <w:u w:val="none"/>
          <w:shd w:val="clear" w:color="auto" w:fill="FFFFFF"/>
        </w:rPr>
        <w:t>公　告</w:t>
      </w:r>
      <w:r>
        <w:rPr>
          <w:rFonts w:hint="eastAsia" w:ascii="宋体" w:hAnsi="宋体" w:eastAsia="宋体" w:cs="宋体"/>
          <w:i w:val="0"/>
          <w:caps w:val="0"/>
          <w:color w:val="4C5157"/>
          <w:spacing w:val="0"/>
          <w:sz w:val="24"/>
          <w:szCs w:val="24"/>
          <w:u w:val="none"/>
          <w:shd w:val="clear" w:color="auto" w:fill="FFFFFF"/>
        </w:rPr>
        <w:br w:type="textWrapping"/>
      </w:r>
      <w:r>
        <w:rPr>
          <w:rFonts w:hint="eastAsia" w:ascii="宋体" w:hAnsi="宋体" w:eastAsia="宋体" w:cs="宋体"/>
          <w:i w:val="0"/>
          <w:caps w:val="0"/>
          <w:color w:val="4C5157"/>
          <w:spacing w:val="0"/>
          <w:sz w:val="24"/>
          <w:szCs w:val="24"/>
          <w:u w:val="none"/>
          <w:shd w:val="clear" w:color="auto" w:fill="FFFFFF"/>
        </w:rPr>
        <w:t>第86号</w:t>
      </w:r>
      <w:bookmarkStart w:id="0" w:name="_GoBack"/>
      <w:bookmarkEnd w:id="0"/>
    </w:p>
    <w:p w14:paraId="29652D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450" w:lineRule="atLeast"/>
        <w:ind w:left="0" w:right="0" w:firstLine="0"/>
        <w:jc w:val="center"/>
        <w:rPr>
          <w:rFonts w:hint="eastAsia" w:ascii="宋体" w:hAnsi="宋体" w:eastAsia="宋体" w:cs="宋体"/>
          <w:i w:val="0"/>
          <w:caps w:val="0"/>
          <w:color w:val="4C5157"/>
          <w:spacing w:val="0"/>
          <w:sz w:val="24"/>
          <w:szCs w:val="24"/>
          <w:u w:val="none"/>
        </w:rPr>
      </w:pPr>
    </w:p>
    <w:p w14:paraId="1A0F5A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450" w:lineRule="atLeast"/>
        <w:ind w:left="0" w:right="0" w:firstLine="420"/>
        <w:jc w:val="both"/>
        <w:rPr>
          <w:rFonts w:hint="eastAsia" w:ascii="宋体" w:hAnsi="宋体" w:eastAsia="宋体" w:cs="宋体"/>
          <w:i w:val="0"/>
          <w:caps w:val="0"/>
          <w:color w:val="4C5157"/>
          <w:spacing w:val="0"/>
          <w:sz w:val="24"/>
          <w:szCs w:val="24"/>
          <w:u w:val="none"/>
        </w:rPr>
      </w:pPr>
      <w:r>
        <w:rPr>
          <w:rFonts w:hint="eastAsia" w:ascii="宋体" w:hAnsi="宋体" w:eastAsia="宋体" w:cs="宋体"/>
          <w:i w:val="0"/>
          <w:caps w:val="0"/>
          <w:color w:val="4C5157"/>
          <w:spacing w:val="0"/>
          <w:sz w:val="24"/>
          <w:szCs w:val="24"/>
          <w:u w:val="none"/>
          <w:shd w:val="clear" w:color="auto" w:fill="FFFFFF"/>
        </w:rPr>
        <w:t>《海南省人民代表大会常务委员会关于将旅行社设立审批等省级管理权限调整由海南自由贸易港重点园区管理机构在重点园区范围内实施的决定》已由海南省第六届人民代表大会常务委员会第二十九次会议于2021年7月27日通过，现予公布，自公布之日起施行。</w:t>
      </w:r>
    </w:p>
    <w:p w14:paraId="7F18F0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450" w:lineRule="atLeast"/>
        <w:ind w:left="0" w:right="0" w:firstLine="0"/>
        <w:jc w:val="right"/>
        <w:rPr>
          <w:rFonts w:hint="eastAsia" w:ascii="宋体" w:hAnsi="宋体" w:eastAsia="宋体" w:cs="宋体"/>
          <w:i w:val="0"/>
          <w:caps w:val="0"/>
          <w:color w:val="4C5157"/>
          <w:spacing w:val="0"/>
          <w:sz w:val="24"/>
          <w:szCs w:val="24"/>
          <w:u w:val="none"/>
        </w:rPr>
      </w:pPr>
    </w:p>
    <w:p w14:paraId="167F6C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450" w:lineRule="atLeast"/>
        <w:ind w:left="0" w:right="0" w:firstLine="0"/>
        <w:jc w:val="right"/>
        <w:rPr>
          <w:rFonts w:hint="eastAsia" w:ascii="宋体" w:hAnsi="宋体" w:eastAsia="宋体" w:cs="宋体"/>
          <w:i w:val="0"/>
          <w:caps w:val="0"/>
          <w:color w:val="4C5157"/>
          <w:spacing w:val="0"/>
          <w:sz w:val="24"/>
          <w:szCs w:val="24"/>
          <w:u w:val="none"/>
        </w:rPr>
      </w:pPr>
      <w:r>
        <w:rPr>
          <w:rFonts w:hint="eastAsia" w:ascii="宋体" w:hAnsi="宋体" w:eastAsia="宋体" w:cs="宋体"/>
          <w:i w:val="0"/>
          <w:caps w:val="0"/>
          <w:color w:val="4C5157"/>
          <w:spacing w:val="0"/>
          <w:sz w:val="24"/>
          <w:szCs w:val="24"/>
          <w:u w:val="none"/>
          <w:shd w:val="clear" w:color="auto" w:fill="FFFFFF"/>
        </w:rPr>
        <w:t>海南省人民代表大会常务委员会</w:t>
      </w:r>
      <w:r>
        <w:rPr>
          <w:rFonts w:hint="eastAsia" w:ascii="宋体" w:hAnsi="宋体" w:eastAsia="宋体" w:cs="宋体"/>
          <w:i w:val="0"/>
          <w:caps w:val="0"/>
          <w:color w:val="4C5157"/>
          <w:spacing w:val="0"/>
          <w:sz w:val="24"/>
          <w:szCs w:val="24"/>
          <w:u w:val="none"/>
          <w:shd w:val="clear" w:color="auto" w:fill="FFFFFF"/>
        </w:rPr>
        <w:br w:type="textWrapping"/>
      </w:r>
      <w:r>
        <w:rPr>
          <w:rFonts w:hint="eastAsia" w:ascii="宋体" w:hAnsi="宋体" w:eastAsia="宋体" w:cs="宋体"/>
          <w:i w:val="0"/>
          <w:caps w:val="0"/>
          <w:color w:val="4C5157"/>
          <w:spacing w:val="0"/>
          <w:sz w:val="24"/>
          <w:szCs w:val="24"/>
          <w:u w:val="none"/>
          <w:shd w:val="clear" w:color="auto" w:fill="FFFFFF"/>
        </w:rPr>
        <w:t>2021年7月27日</w:t>
      </w:r>
    </w:p>
    <w:p w14:paraId="384E46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450" w:lineRule="atLeast"/>
        <w:ind w:left="0" w:right="0" w:firstLine="0"/>
        <w:jc w:val="both"/>
        <w:rPr>
          <w:rFonts w:hint="eastAsia" w:ascii="宋体" w:hAnsi="宋体" w:eastAsia="宋体" w:cs="宋体"/>
          <w:i w:val="0"/>
          <w:caps w:val="0"/>
          <w:color w:val="4C5157"/>
          <w:spacing w:val="0"/>
          <w:sz w:val="24"/>
          <w:szCs w:val="24"/>
          <w:u w:val="none"/>
        </w:rPr>
      </w:pPr>
    </w:p>
    <w:p w14:paraId="4AA96C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450" w:lineRule="atLeast"/>
        <w:ind w:left="0" w:right="0" w:firstLine="0"/>
        <w:jc w:val="center"/>
        <w:rPr>
          <w:rFonts w:hint="eastAsia" w:ascii="宋体" w:hAnsi="宋体" w:eastAsia="宋体" w:cs="宋体"/>
          <w:i w:val="0"/>
          <w:caps w:val="0"/>
          <w:color w:val="4C5157"/>
          <w:spacing w:val="0"/>
          <w:sz w:val="24"/>
          <w:szCs w:val="24"/>
          <w:u w:val="none"/>
        </w:rPr>
      </w:pPr>
      <w:r>
        <w:rPr>
          <w:rFonts w:hint="eastAsia" w:ascii="宋体" w:hAnsi="宋体" w:eastAsia="宋体" w:cs="宋体"/>
          <w:b/>
          <w:i w:val="0"/>
          <w:caps w:val="0"/>
          <w:color w:val="4C5157"/>
          <w:spacing w:val="0"/>
          <w:sz w:val="24"/>
          <w:szCs w:val="24"/>
          <w:u w:val="none"/>
          <w:shd w:val="clear" w:color="auto" w:fill="FFFFFF"/>
        </w:rPr>
        <w:t>海南省人民代表大会常务委员会</w:t>
      </w:r>
      <w:r>
        <w:rPr>
          <w:rFonts w:hint="eastAsia" w:ascii="宋体" w:hAnsi="宋体" w:eastAsia="宋体" w:cs="宋体"/>
          <w:b/>
          <w:i w:val="0"/>
          <w:caps w:val="0"/>
          <w:color w:val="4C5157"/>
          <w:spacing w:val="0"/>
          <w:sz w:val="24"/>
          <w:szCs w:val="24"/>
          <w:u w:val="none"/>
          <w:shd w:val="clear" w:color="auto" w:fill="FFFFFF"/>
        </w:rPr>
        <w:br w:type="textWrapping"/>
      </w:r>
      <w:r>
        <w:rPr>
          <w:rFonts w:hint="eastAsia" w:ascii="宋体" w:hAnsi="宋体" w:eastAsia="宋体" w:cs="宋体"/>
          <w:b/>
          <w:i w:val="0"/>
          <w:caps w:val="0"/>
          <w:color w:val="4C5157"/>
          <w:spacing w:val="0"/>
          <w:sz w:val="24"/>
          <w:szCs w:val="24"/>
          <w:u w:val="none"/>
          <w:shd w:val="clear" w:color="auto" w:fill="FFFFFF"/>
        </w:rPr>
        <w:t>关于将旅行社设立审批等省级管理权限调整由海南自由贸易港重点园区管理机构在重点园区范围内实施的决定</w:t>
      </w:r>
      <w:r>
        <w:rPr>
          <w:rFonts w:hint="eastAsia" w:ascii="宋体" w:hAnsi="宋体" w:eastAsia="宋体" w:cs="宋体"/>
          <w:i w:val="0"/>
          <w:caps w:val="0"/>
          <w:color w:val="4C5157"/>
          <w:spacing w:val="0"/>
          <w:sz w:val="24"/>
          <w:szCs w:val="24"/>
          <w:u w:val="none"/>
          <w:shd w:val="clear" w:color="auto" w:fill="FFFFFF"/>
        </w:rPr>
        <w:br w:type="textWrapping"/>
      </w:r>
      <w:r>
        <w:rPr>
          <w:rFonts w:hint="eastAsia" w:ascii="宋体" w:hAnsi="宋体" w:eastAsia="宋体" w:cs="宋体"/>
          <w:i w:val="0"/>
          <w:caps w:val="0"/>
          <w:color w:val="4C5157"/>
          <w:spacing w:val="0"/>
          <w:sz w:val="24"/>
          <w:szCs w:val="24"/>
          <w:u w:val="none"/>
          <w:shd w:val="clear" w:color="auto" w:fill="FFFFFF"/>
        </w:rPr>
        <w:t>（2021年7月27日海南省第六届人民代表大会常务委员会第二十九次会议通过）</w:t>
      </w:r>
    </w:p>
    <w:p w14:paraId="48C3EB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450" w:lineRule="atLeast"/>
        <w:ind w:left="0" w:right="0" w:firstLine="420"/>
        <w:jc w:val="both"/>
        <w:rPr>
          <w:rFonts w:hint="eastAsia" w:ascii="宋体" w:hAnsi="宋体" w:eastAsia="宋体" w:cs="宋体"/>
          <w:i w:val="0"/>
          <w:caps w:val="0"/>
          <w:color w:val="4C5157"/>
          <w:spacing w:val="0"/>
          <w:sz w:val="24"/>
          <w:szCs w:val="24"/>
          <w:u w:val="none"/>
        </w:rPr>
      </w:pPr>
      <w:r>
        <w:rPr>
          <w:rFonts w:hint="eastAsia" w:ascii="宋体" w:hAnsi="宋体" w:eastAsia="宋体" w:cs="宋体"/>
          <w:i w:val="0"/>
          <w:caps w:val="0"/>
          <w:color w:val="4C5157"/>
          <w:spacing w:val="0"/>
          <w:sz w:val="24"/>
          <w:szCs w:val="24"/>
          <w:u w:val="none"/>
          <w:shd w:val="clear" w:color="auto" w:fill="FFFFFF"/>
        </w:rPr>
        <w:t>为营造法治化、国际化、便利化的营商环境，促进海南自由贸易港重点园区开发建设，赋予重点园区更大的自主发展权，根据有关法律法规和《海南省人民代表大会常务委员会关于海南自由贸易港洋浦经济开发区等重点园区管理体制的决定》，结合海南自由贸易港建设实际，海南省人民代表大会常务委员会决定将17项省级管理权限调整由相关重点园区管理机构在重点园区范围内实施。对已调整由市、县、自治县人民政府实施的有关省级管理权限，市、县、自治县人民政府在重点园区范围内不再实施。</w:t>
      </w:r>
    </w:p>
    <w:p w14:paraId="426CCC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450" w:lineRule="atLeast"/>
        <w:ind w:left="0" w:right="0" w:firstLine="420"/>
        <w:jc w:val="both"/>
        <w:rPr>
          <w:rFonts w:hint="eastAsia" w:ascii="宋体" w:hAnsi="宋体" w:eastAsia="宋体" w:cs="宋体"/>
          <w:i w:val="0"/>
          <w:caps w:val="0"/>
          <w:color w:val="4C5157"/>
          <w:spacing w:val="0"/>
          <w:sz w:val="24"/>
          <w:szCs w:val="24"/>
          <w:u w:val="none"/>
        </w:rPr>
      </w:pPr>
      <w:r>
        <w:rPr>
          <w:rFonts w:hint="eastAsia" w:ascii="宋体" w:hAnsi="宋体" w:eastAsia="宋体" w:cs="宋体"/>
          <w:i w:val="0"/>
          <w:caps w:val="0"/>
          <w:color w:val="4C5157"/>
          <w:spacing w:val="0"/>
          <w:sz w:val="24"/>
          <w:szCs w:val="24"/>
          <w:u w:val="none"/>
          <w:shd w:val="clear" w:color="auto" w:fill="FFFFFF"/>
        </w:rPr>
        <w:t>原实施机关应当加强对重点园区管理机构的业务培训指导，强化事中事后监管，切实做到放管结合；承接的重点园区管理机构应当周密组织，落实责任，建立承接管理权限的有效机制，做到规范有序，确保严格依法行使职权。原实施机关应当适时对调整实施事项进行评估，对实践证明可行的，继续加强事中事后监管；经评估施行效果不好的，及时按照法定程序收回相关管理权限。</w:t>
      </w:r>
    </w:p>
    <w:p w14:paraId="584A8B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450" w:lineRule="atLeast"/>
        <w:ind w:left="0" w:right="0" w:firstLine="420"/>
        <w:jc w:val="both"/>
        <w:rPr>
          <w:rFonts w:hint="eastAsia" w:ascii="宋体" w:hAnsi="宋体" w:eastAsia="宋体" w:cs="宋体"/>
          <w:i w:val="0"/>
          <w:caps w:val="0"/>
          <w:color w:val="4C5157"/>
          <w:spacing w:val="0"/>
          <w:sz w:val="24"/>
          <w:szCs w:val="24"/>
          <w:u w:val="none"/>
        </w:rPr>
      </w:pPr>
      <w:r>
        <w:rPr>
          <w:rFonts w:hint="eastAsia" w:ascii="宋体" w:hAnsi="宋体" w:eastAsia="宋体" w:cs="宋体"/>
          <w:i w:val="0"/>
          <w:caps w:val="0"/>
          <w:color w:val="4C5157"/>
          <w:spacing w:val="0"/>
          <w:sz w:val="24"/>
          <w:szCs w:val="24"/>
          <w:u w:val="none"/>
          <w:shd w:val="clear" w:color="auto" w:fill="FFFFFF"/>
        </w:rPr>
        <w:t>本决定自公布之日起施行。</w:t>
      </w:r>
    </w:p>
    <w:p w14:paraId="35E952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450" w:lineRule="atLeast"/>
        <w:ind w:left="0" w:right="0" w:firstLine="420"/>
        <w:jc w:val="both"/>
        <w:rPr>
          <w:rFonts w:hint="eastAsia" w:ascii="宋体" w:hAnsi="宋体" w:eastAsia="宋体" w:cs="宋体"/>
          <w:i w:val="0"/>
          <w:caps w:val="0"/>
          <w:color w:val="4C5157"/>
          <w:spacing w:val="0"/>
          <w:sz w:val="24"/>
          <w:szCs w:val="24"/>
          <w:u w:val="none"/>
        </w:rPr>
      </w:pPr>
      <w:r>
        <w:rPr>
          <w:rFonts w:hint="eastAsia" w:ascii="宋体" w:hAnsi="宋体" w:eastAsia="宋体" w:cs="宋体"/>
          <w:i w:val="0"/>
          <w:caps w:val="0"/>
          <w:color w:val="4C5157"/>
          <w:spacing w:val="0"/>
          <w:sz w:val="24"/>
          <w:szCs w:val="24"/>
          <w:u w:val="none"/>
          <w:shd w:val="clear" w:color="auto" w:fill="FFFFFF"/>
        </w:rPr>
        <w:t>附件：调整由海南自由贸易港重点园区管理机构在重点园区范围内实施的17项省级管理权限目录</w:t>
      </w:r>
    </w:p>
    <w:p w14:paraId="571C27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450" w:lineRule="atLeast"/>
        <w:ind w:left="0" w:right="0" w:firstLine="0"/>
        <w:jc w:val="center"/>
        <w:rPr>
          <w:rFonts w:hint="eastAsia" w:ascii="宋体" w:hAnsi="宋体" w:eastAsia="宋体" w:cs="宋体"/>
          <w:i w:val="0"/>
          <w:caps w:val="0"/>
          <w:color w:val="4C5157"/>
          <w:spacing w:val="0"/>
          <w:sz w:val="24"/>
          <w:szCs w:val="24"/>
          <w:u w:val="none"/>
        </w:rPr>
      </w:pPr>
      <w:r>
        <w:rPr>
          <w:rFonts w:hint="eastAsia" w:ascii="宋体" w:hAnsi="宋体" w:eastAsia="宋体" w:cs="宋体"/>
          <w:b/>
          <w:i w:val="0"/>
          <w:caps w:val="0"/>
          <w:color w:val="4C5157"/>
          <w:spacing w:val="0"/>
          <w:sz w:val="24"/>
          <w:szCs w:val="24"/>
          <w:u w:val="none"/>
          <w:shd w:val="clear" w:color="auto" w:fill="FFFFFF"/>
        </w:rPr>
        <w:t>调整由海南自由贸易港重点园区管理机构在重点园区范围内实施的17项</w:t>
      </w:r>
      <w:r>
        <w:rPr>
          <w:rFonts w:hint="eastAsia" w:ascii="宋体" w:hAnsi="宋体" w:eastAsia="宋体" w:cs="宋体"/>
          <w:i w:val="0"/>
          <w:caps w:val="0"/>
          <w:color w:val="4C5157"/>
          <w:spacing w:val="0"/>
          <w:sz w:val="24"/>
          <w:szCs w:val="24"/>
          <w:u w:val="none"/>
          <w:shd w:val="clear" w:color="auto" w:fill="FFFFFF"/>
        </w:rPr>
        <w:br w:type="textWrapping"/>
      </w:r>
      <w:r>
        <w:rPr>
          <w:rFonts w:hint="eastAsia" w:ascii="宋体" w:hAnsi="宋体" w:eastAsia="宋体" w:cs="宋体"/>
          <w:i w:val="0"/>
          <w:caps w:val="0"/>
          <w:color w:val="4C5157"/>
          <w:spacing w:val="0"/>
          <w:sz w:val="24"/>
          <w:szCs w:val="24"/>
          <w:u w:val="none"/>
          <w:shd w:val="clear" w:color="auto" w:fill="FFFFFF"/>
        </w:rPr>
        <w:t>省级管理权限目录</w:t>
      </w:r>
    </w:p>
    <w:tbl>
      <w:tblPr>
        <w:tblStyle w:val="3"/>
        <w:tblW w:w="9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77"/>
        <w:gridCol w:w="3945"/>
        <w:gridCol w:w="1620"/>
        <w:gridCol w:w="2438"/>
        <w:gridCol w:w="1155"/>
      </w:tblGrid>
      <w:tr w14:paraId="215C6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000000" w:sz="8" w:space="0"/>
              <w:left w:val="single" w:color="000000" w:sz="8" w:space="0"/>
              <w:bottom w:val="single" w:color="000000" w:sz="8" w:space="0"/>
              <w:right w:val="single" w:color="000000" w:sz="8" w:space="0"/>
            </w:tcBorders>
            <w:noWrap w:val="0"/>
            <w:vAlign w:val="center"/>
          </w:tcPr>
          <w:p w14:paraId="556296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ascii="sans-serif" w:hAnsi="sans-serif" w:cs="sans-serif"/>
                <w:sz w:val="21"/>
                <w:szCs w:val="21"/>
                <w:u w:val="none"/>
              </w:rPr>
            </w:pPr>
            <w:r>
              <w:rPr>
                <w:rFonts w:hint="eastAsia" w:ascii="宋体" w:hAnsi="宋体" w:eastAsia="宋体" w:cs="宋体"/>
                <w:sz w:val="24"/>
                <w:szCs w:val="24"/>
                <w:u w:val="none"/>
              </w:rPr>
              <w:t>序号</w:t>
            </w:r>
          </w:p>
        </w:tc>
        <w:tc>
          <w:tcPr>
            <w:tcW w:w="3690" w:type="dxa"/>
            <w:tcBorders>
              <w:top w:val="single" w:color="000000" w:sz="8" w:space="0"/>
              <w:left w:val="nil"/>
              <w:bottom w:val="single" w:color="000000" w:sz="8" w:space="0"/>
              <w:right w:val="single" w:color="000000" w:sz="8" w:space="0"/>
            </w:tcBorders>
            <w:noWrap w:val="0"/>
            <w:vAlign w:val="center"/>
          </w:tcPr>
          <w:p w14:paraId="43A335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权限名称</w:t>
            </w:r>
          </w:p>
        </w:tc>
        <w:tc>
          <w:tcPr>
            <w:tcW w:w="1515" w:type="dxa"/>
            <w:tcBorders>
              <w:top w:val="single" w:color="000000" w:sz="8" w:space="0"/>
              <w:left w:val="nil"/>
              <w:bottom w:val="single" w:color="000000" w:sz="8" w:space="0"/>
              <w:right w:val="single" w:color="000000" w:sz="8" w:space="0"/>
            </w:tcBorders>
            <w:noWrap w:val="0"/>
            <w:vAlign w:val="center"/>
          </w:tcPr>
          <w:p w14:paraId="7BE5D4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原实施机关</w:t>
            </w:r>
          </w:p>
        </w:tc>
        <w:tc>
          <w:tcPr>
            <w:tcW w:w="2280" w:type="dxa"/>
            <w:tcBorders>
              <w:top w:val="single" w:color="000000" w:sz="8" w:space="0"/>
              <w:left w:val="nil"/>
              <w:bottom w:val="single" w:color="000000" w:sz="8" w:space="0"/>
              <w:right w:val="single" w:color="000000" w:sz="8" w:space="0"/>
            </w:tcBorders>
            <w:noWrap w:val="0"/>
            <w:vAlign w:val="center"/>
          </w:tcPr>
          <w:p w14:paraId="4C648D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承接园区</w:t>
            </w:r>
          </w:p>
        </w:tc>
        <w:tc>
          <w:tcPr>
            <w:tcW w:w="1080" w:type="dxa"/>
            <w:tcBorders>
              <w:top w:val="single" w:color="000000" w:sz="8" w:space="0"/>
              <w:left w:val="nil"/>
              <w:bottom w:val="single" w:color="000000" w:sz="8" w:space="0"/>
              <w:right w:val="single" w:color="000000" w:sz="8" w:space="0"/>
            </w:tcBorders>
            <w:noWrap w:val="0"/>
            <w:vAlign w:val="center"/>
          </w:tcPr>
          <w:p w14:paraId="0D6159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调整方式</w:t>
            </w:r>
          </w:p>
        </w:tc>
      </w:tr>
      <w:tr w14:paraId="09DC1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nil"/>
              <w:left w:val="single" w:color="000000" w:sz="8" w:space="0"/>
              <w:bottom w:val="single" w:color="000000" w:sz="8" w:space="0"/>
              <w:right w:val="single" w:color="000000" w:sz="8" w:space="0"/>
            </w:tcBorders>
            <w:shd w:val="clear" w:color="auto" w:fill="FFFFFF"/>
            <w:noWrap w:val="0"/>
            <w:vAlign w:val="center"/>
          </w:tcPr>
          <w:p w14:paraId="6EFD43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　　1</w:t>
            </w:r>
          </w:p>
        </w:tc>
        <w:tc>
          <w:tcPr>
            <w:tcW w:w="3690" w:type="dxa"/>
            <w:tcBorders>
              <w:top w:val="nil"/>
              <w:left w:val="nil"/>
              <w:bottom w:val="single" w:color="000000" w:sz="8" w:space="0"/>
              <w:right w:val="single" w:color="000000" w:sz="8" w:space="0"/>
            </w:tcBorders>
            <w:noWrap w:val="0"/>
            <w:vAlign w:val="center"/>
          </w:tcPr>
          <w:p w14:paraId="72CCB6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旅行社设立审批</w:t>
            </w:r>
          </w:p>
        </w:tc>
        <w:tc>
          <w:tcPr>
            <w:tcW w:w="1515" w:type="dxa"/>
            <w:tcBorders>
              <w:top w:val="nil"/>
              <w:left w:val="nil"/>
              <w:bottom w:val="single" w:color="000000" w:sz="8" w:space="0"/>
              <w:right w:val="single" w:color="000000" w:sz="8" w:space="0"/>
            </w:tcBorders>
            <w:noWrap w:val="0"/>
            <w:vAlign w:val="center"/>
          </w:tcPr>
          <w:p w14:paraId="35F46B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省旅游和文化广电体育厅</w:t>
            </w:r>
          </w:p>
        </w:tc>
        <w:tc>
          <w:tcPr>
            <w:tcW w:w="2280" w:type="dxa"/>
            <w:tcBorders>
              <w:top w:val="nil"/>
              <w:left w:val="nil"/>
              <w:bottom w:val="single" w:color="000000" w:sz="8" w:space="0"/>
              <w:right w:val="single" w:color="000000" w:sz="8" w:space="0"/>
            </w:tcBorders>
            <w:noWrap w:val="0"/>
            <w:vAlign w:val="center"/>
          </w:tcPr>
          <w:p w14:paraId="4BFAE9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海口江东新区、海口国家高新技术产业开发区、博鳌乐城国际医疗旅游先行区、文昌国际航天城、陵水黎安国际教育创新试验区</w:t>
            </w:r>
          </w:p>
        </w:tc>
        <w:tc>
          <w:tcPr>
            <w:tcW w:w="1080" w:type="dxa"/>
            <w:tcBorders>
              <w:top w:val="nil"/>
              <w:left w:val="nil"/>
              <w:bottom w:val="single" w:color="000000" w:sz="8" w:space="0"/>
              <w:right w:val="single" w:color="000000" w:sz="8" w:space="0"/>
            </w:tcBorders>
            <w:noWrap w:val="0"/>
            <w:vAlign w:val="center"/>
          </w:tcPr>
          <w:p w14:paraId="77A028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下放</w:t>
            </w:r>
          </w:p>
        </w:tc>
      </w:tr>
      <w:tr w14:paraId="12AB3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nil"/>
              <w:left w:val="single" w:color="000000" w:sz="8" w:space="0"/>
              <w:bottom w:val="single" w:color="000000" w:sz="8" w:space="0"/>
              <w:right w:val="single" w:color="000000" w:sz="8" w:space="0"/>
            </w:tcBorders>
            <w:shd w:val="clear" w:color="auto" w:fill="FFFFFF"/>
            <w:noWrap w:val="0"/>
            <w:vAlign w:val="center"/>
          </w:tcPr>
          <w:p w14:paraId="443BBF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　　2</w:t>
            </w:r>
          </w:p>
        </w:tc>
        <w:tc>
          <w:tcPr>
            <w:tcW w:w="3690" w:type="dxa"/>
            <w:tcBorders>
              <w:top w:val="nil"/>
              <w:left w:val="nil"/>
              <w:bottom w:val="single" w:color="000000" w:sz="8" w:space="0"/>
              <w:right w:val="single" w:color="000000" w:sz="8" w:space="0"/>
            </w:tcBorders>
            <w:noWrap w:val="0"/>
            <w:vAlign w:val="center"/>
          </w:tcPr>
          <w:p w14:paraId="739E5B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外商投资旅行社业务许可</w:t>
            </w:r>
          </w:p>
        </w:tc>
        <w:tc>
          <w:tcPr>
            <w:tcW w:w="1515" w:type="dxa"/>
            <w:tcBorders>
              <w:top w:val="nil"/>
              <w:left w:val="nil"/>
              <w:bottom w:val="single" w:color="000000" w:sz="8" w:space="0"/>
              <w:right w:val="single" w:color="000000" w:sz="8" w:space="0"/>
            </w:tcBorders>
            <w:noWrap w:val="0"/>
            <w:vAlign w:val="center"/>
          </w:tcPr>
          <w:p w14:paraId="7FD6AB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省旅游和文化广电体育厅</w:t>
            </w:r>
          </w:p>
        </w:tc>
        <w:tc>
          <w:tcPr>
            <w:tcW w:w="2280" w:type="dxa"/>
            <w:tcBorders>
              <w:top w:val="nil"/>
              <w:left w:val="nil"/>
              <w:bottom w:val="single" w:color="000000" w:sz="8" w:space="0"/>
              <w:right w:val="single" w:color="000000" w:sz="8" w:space="0"/>
            </w:tcBorders>
            <w:noWrap w:val="0"/>
            <w:vAlign w:val="center"/>
          </w:tcPr>
          <w:p w14:paraId="3FA125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海口江东新区、海口国家高新技术产业开发区、博鳌乐城国际医疗旅游先行区、文昌国际航天城、陵水黎安国际教育创新试验区</w:t>
            </w:r>
          </w:p>
        </w:tc>
        <w:tc>
          <w:tcPr>
            <w:tcW w:w="1080" w:type="dxa"/>
            <w:tcBorders>
              <w:top w:val="nil"/>
              <w:left w:val="nil"/>
              <w:bottom w:val="single" w:color="000000" w:sz="8" w:space="0"/>
              <w:right w:val="single" w:color="000000" w:sz="8" w:space="0"/>
            </w:tcBorders>
            <w:noWrap w:val="0"/>
            <w:vAlign w:val="center"/>
          </w:tcPr>
          <w:p w14:paraId="258A73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下放</w:t>
            </w:r>
          </w:p>
        </w:tc>
      </w:tr>
      <w:tr w14:paraId="457D2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nil"/>
              <w:left w:val="single" w:color="000000" w:sz="8" w:space="0"/>
              <w:bottom w:val="single" w:color="000000" w:sz="8" w:space="0"/>
              <w:right w:val="single" w:color="000000" w:sz="8" w:space="0"/>
            </w:tcBorders>
            <w:shd w:val="clear" w:color="auto" w:fill="FFFFFF"/>
            <w:noWrap w:val="0"/>
            <w:vAlign w:val="center"/>
          </w:tcPr>
          <w:p w14:paraId="3CC00D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　　3</w:t>
            </w:r>
          </w:p>
        </w:tc>
        <w:tc>
          <w:tcPr>
            <w:tcW w:w="3690" w:type="dxa"/>
            <w:tcBorders>
              <w:top w:val="nil"/>
              <w:left w:val="nil"/>
              <w:bottom w:val="single" w:color="000000" w:sz="8" w:space="0"/>
              <w:right w:val="single" w:color="000000" w:sz="8" w:space="0"/>
            </w:tcBorders>
            <w:noWrap w:val="0"/>
            <w:vAlign w:val="center"/>
          </w:tcPr>
          <w:p w14:paraId="1BCC10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旅行社业务经营许可证毁损换发、遗失补发</w:t>
            </w:r>
          </w:p>
        </w:tc>
        <w:tc>
          <w:tcPr>
            <w:tcW w:w="1515" w:type="dxa"/>
            <w:tcBorders>
              <w:top w:val="nil"/>
              <w:left w:val="nil"/>
              <w:bottom w:val="single" w:color="000000" w:sz="8" w:space="0"/>
              <w:right w:val="single" w:color="000000" w:sz="8" w:space="0"/>
            </w:tcBorders>
            <w:noWrap w:val="0"/>
            <w:vAlign w:val="center"/>
          </w:tcPr>
          <w:p w14:paraId="4D65CA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省旅游和文化广电体育厅</w:t>
            </w:r>
          </w:p>
        </w:tc>
        <w:tc>
          <w:tcPr>
            <w:tcW w:w="2280" w:type="dxa"/>
            <w:tcBorders>
              <w:top w:val="nil"/>
              <w:left w:val="nil"/>
              <w:bottom w:val="single" w:color="000000" w:sz="8" w:space="0"/>
              <w:right w:val="single" w:color="000000" w:sz="8" w:space="0"/>
            </w:tcBorders>
            <w:noWrap w:val="0"/>
            <w:vAlign w:val="center"/>
          </w:tcPr>
          <w:p w14:paraId="7214B8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海口江东新区、海口国家高新技术产业开发区、博鳌乐城国际医疗旅游先行区、文昌国际航天城、陵水黎安国际教育创新试验区</w:t>
            </w:r>
          </w:p>
        </w:tc>
        <w:tc>
          <w:tcPr>
            <w:tcW w:w="1080" w:type="dxa"/>
            <w:tcBorders>
              <w:top w:val="nil"/>
              <w:left w:val="nil"/>
              <w:bottom w:val="single" w:color="000000" w:sz="8" w:space="0"/>
              <w:right w:val="single" w:color="000000" w:sz="8" w:space="0"/>
            </w:tcBorders>
            <w:noWrap w:val="0"/>
            <w:vAlign w:val="center"/>
          </w:tcPr>
          <w:p w14:paraId="0C2B0E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下放</w:t>
            </w:r>
          </w:p>
        </w:tc>
      </w:tr>
      <w:tr w14:paraId="38362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nil"/>
              <w:left w:val="single" w:color="000000" w:sz="8" w:space="0"/>
              <w:bottom w:val="single" w:color="000000" w:sz="8" w:space="0"/>
              <w:right w:val="single" w:color="000000" w:sz="8" w:space="0"/>
            </w:tcBorders>
            <w:shd w:val="clear" w:color="auto" w:fill="FFFFFF"/>
            <w:noWrap w:val="0"/>
            <w:vAlign w:val="center"/>
          </w:tcPr>
          <w:p w14:paraId="6B5084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　　4</w:t>
            </w:r>
          </w:p>
        </w:tc>
        <w:tc>
          <w:tcPr>
            <w:tcW w:w="3690" w:type="dxa"/>
            <w:tcBorders>
              <w:top w:val="nil"/>
              <w:left w:val="nil"/>
              <w:bottom w:val="single" w:color="000000" w:sz="8" w:space="0"/>
              <w:right w:val="single" w:color="000000" w:sz="8" w:space="0"/>
            </w:tcBorders>
            <w:noWrap w:val="0"/>
            <w:vAlign w:val="center"/>
          </w:tcPr>
          <w:p w14:paraId="48742A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旅行社登记事项变更备案（含名称、经营场所、法定代表人、出资人变更）</w:t>
            </w:r>
          </w:p>
        </w:tc>
        <w:tc>
          <w:tcPr>
            <w:tcW w:w="1515" w:type="dxa"/>
            <w:tcBorders>
              <w:top w:val="nil"/>
              <w:left w:val="nil"/>
              <w:bottom w:val="single" w:color="000000" w:sz="8" w:space="0"/>
              <w:right w:val="single" w:color="000000" w:sz="8" w:space="0"/>
            </w:tcBorders>
            <w:noWrap w:val="0"/>
            <w:vAlign w:val="center"/>
          </w:tcPr>
          <w:p w14:paraId="70DA6B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省旅游和文化广电体育厅</w:t>
            </w:r>
          </w:p>
        </w:tc>
        <w:tc>
          <w:tcPr>
            <w:tcW w:w="2280" w:type="dxa"/>
            <w:tcBorders>
              <w:top w:val="nil"/>
              <w:left w:val="nil"/>
              <w:bottom w:val="single" w:color="000000" w:sz="8" w:space="0"/>
              <w:right w:val="single" w:color="000000" w:sz="8" w:space="0"/>
            </w:tcBorders>
            <w:noWrap w:val="0"/>
            <w:vAlign w:val="center"/>
          </w:tcPr>
          <w:p w14:paraId="6250A1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海口江东新区、海口国家高新技术产业开发区、博鳌乐城国际医疗旅游先行区、文昌国际航天城、陵水黎安国际教育创新试验区</w:t>
            </w:r>
          </w:p>
        </w:tc>
        <w:tc>
          <w:tcPr>
            <w:tcW w:w="1080" w:type="dxa"/>
            <w:tcBorders>
              <w:top w:val="nil"/>
              <w:left w:val="nil"/>
              <w:bottom w:val="single" w:color="000000" w:sz="8" w:space="0"/>
              <w:right w:val="single" w:color="000000" w:sz="8" w:space="0"/>
            </w:tcBorders>
            <w:noWrap w:val="0"/>
            <w:vAlign w:val="center"/>
          </w:tcPr>
          <w:p w14:paraId="11404F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下放</w:t>
            </w:r>
          </w:p>
        </w:tc>
      </w:tr>
      <w:tr w14:paraId="1E13D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nil"/>
              <w:left w:val="single" w:color="000000" w:sz="8" w:space="0"/>
              <w:bottom w:val="single" w:color="000000" w:sz="8" w:space="0"/>
              <w:right w:val="single" w:color="000000" w:sz="8" w:space="0"/>
            </w:tcBorders>
            <w:shd w:val="clear" w:color="auto" w:fill="FFFFFF"/>
            <w:noWrap w:val="0"/>
            <w:vAlign w:val="center"/>
          </w:tcPr>
          <w:p w14:paraId="698E15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　　5</w:t>
            </w:r>
          </w:p>
        </w:tc>
        <w:tc>
          <w:tcPr>
            <w:tcW w:w="3690" w:type="dxa"/>
            <w:tcBorders>
              <w:top w:val="nil"/>
              <w:left w:val="nil"/>
              <w:bottom w:val="single" w:color="000000" w:sz="8" w:space="0"/>
              <w:right w:val="single" w:color="000000" w:sz="8" w:space="0"/>
            </w:tcBorders>
            <w:noWrap w:val="0"/>
            <w:vAlign w:val="center"/>
          </w:tcPr>
          <w:p w14:paraId="44CCEC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旅行社终止经营备案</w:t>
            </w:r>
          </w:p>
        </w:tc>
        <w:tc>
          <w:tcPr>
            <w:tcW w:w="1515" w:type="dxa"/>
            <w:tcBorders>
              <w:top w:val="nil"/>
              <w:left w:val="nil"/>
              <w:bottom w:val="single" w:color="000000" w:sz="8" w:space="0"/>
              <w:right w:val="single" w:color="000000" w:sz="8" w:space="0"/>
            </w:tcBorders>
            <w:noWrap w:val="0"/>
            <w:vAlign w:val="center"/>
          </w:tcPr>
          <w:p w14:paraId="5AA0BF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省旅游和文化广电体育厅</w:t>
            </w:r>
          </w:p>
        </w:tc>
        <w:tc>
          <w:tcPr>
            <w:tcW w:w="2280" w:type="dxa"/>
            <w:tcBorders>
              <w:top w:val="nil"/>
              <w:left w:val="nil"/>
              <w:bottom w:val="single" w:color="000000" w:sz="8" w:space="0"/>
              <w:right w:val="single" w:color="000000" w:sz="8" w:space="0"/>
            </w:tcBorders>
            <w:noWrap w:val="0"/>
            <w:vAlign w:val="center"/>
          </w:tcPr>
          <w:p w14:paraId="6BFB01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海口江东新区、海口国家高新技术产业开发区、博鳌乐城国际医疗旅游先行区、文昌国际航天城、陵水黎安国际教育创新试验区</w:t>
            </w:r>
          </w:p>
        </w:tc>
        <w:tc>
          <w:tcPr>
            <w:tcW w:w="1080" w:type="dxa"/>
            <w:tcBorders>
              <w:top w:val="nil"/>
              <w:left w:val="nil"/>
              <w:bottom w:val="single" w:color="000000" w:sz="8" w:space="0"/>
              <w:right w:val="single" w:color="000000" w:sz="8" w:space="0"/>
            </w:tcBorders>
            <w:noWrap w:val="0"/>
            <w:vAlign w:val="center"/>
          </w:tcPr>
          <w:p w14:paraId="700C02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下放</w:t>
            </w:r>
          </w:p>
        </w:tc>
      </w:tr>
      <w:tr w14:paraId="127C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nil"/>
              <w:left w:val="single" w:color="000000" w:sz="8" w:space="0"/>
              <w:bottom w:val="single" w:color="000000" w:sz="8" w:space="0"/>
              <w:right w:val="single" w:color="000000" w:sz="8" w:space="0"/>
            </w:tcBorders>
            <w:shd w:val="clear" w:color="auto" w:fill="FFFFFF"/>
            <w:noWrap w:val="0"/>
            <w:vAlign w:val="center"/>
          </w:tcPr>
          <w:p w14:paraId="4D00DE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　　6</w:t>
            </w:r>
          </w:p>
        </w:tc>
        <w:tc>
          <w:tcPr>
            <w:tcW w:w="3690" w:type="dxa"/>
            <w:tcBorders>
              <w:top w:val="nil"/>
              <w:left w:val="nil"/>
              <w:bottom w:val="single" w:color="000000" w:sz="8" w:space="0"/>
              <w:right w:val="single" w:color="000000" w:sz="8" w:space="0"/>
            </w:tcBorders>
            <w:noWrap w:val="0"/>
            <w:vAlign w:val="center"/>
          </w:tcPr>
          <w:p w14:paraId="3D0EA5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导游证核发（含换发、补发）</w:t>
            </w:r>
          </w:p>
        </w:tc>
        <w:tc>
          <w:tcPr>
            <w:tcW w:w="1515" w:type="dxa"/>
            <w:tcBorders>
              <w:top w:val="nil"/>
              <w:left w:val="nil"/>
              <w:bottom w:val="single" w:color="000000" w:sz="8" w:space="0"/>
              <w:right w:val="single" w:color="000000" w:sz="8" w:space="0"/>
            </w:tcBorders>
            <w:noWrap w:val="0"/>
            <w:vAlign w:val="center"/>
          </w:tcPr>
          <w:p w14:paraId="32E4BD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省旅游和文化广电体育厅</w:t>
            </w:r>
          </w:p>
        </w:tc>
        <w:tc>
          <w:tcPr>
            <w:tcW w:w="2280" w:type="dxa"/>
            <w:tcBorders>
              <w:top w:val="nil"/>
              <w:left w:val="nil"/>
              <w:bottom w:val="single" w:color="000000" w:sz="8" w:space="0"/>
              <w:right w:val="single" w:color="000000" w:sz="8" w:space="0"/>
            </w:tcBorders>
            <w:noWrap w:val="0"/>
            <w:vAlign w:val="center"/>
          </w:tcPr>
          <w:p w14:paraId="2F15F6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海口江东新区、海口国家高新技术产业开发区、博鳌乐城国际医疗旅游先行区、文昌国际航天城、陵水黎安国际教育创新试验区</w:t>
            </w:r>
          </w:p>
        </w:tc>
        <w:tc>
          <w:tcPr>
            <w:tcW w:w="1080" w:type="dxa"/>
            <w:tcBorders>
              <w:top w:val="nil"/>
              <w:left w:val="nil"/>
              <w:bottom w:val="single" w:color="000000" w:sz="8" w:space="0"/>
              <w:right w:val="single" w:color="000000" w:sz="8" w:space="0"/>
            </w:tcBorders>
            <w:noWrap w:val="0"/>
            <w:vAlign w:val="center"/>
          </w:tcPr>
          <w:p w14:paraId="682842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下放</w:t>
            </w:r>
          </w:p>
        </w:tc>
      </w:tr>
      <w:tr w14:paraId="646C2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nil"/>
              <w:left w:val="single" w:color="000000" w:sz="8" w:space="0"/>
              <w:bottom w:val="single" w:color="000000" w:sz="8" w:space="0"/>
              <w:right w:val="single" w:color="000000" w:sz="8" w:space="0"/>
            </w:tcBorders>
            <w:shd w:val="clear" w:color="auto" w:fill="FFFFFF"/>
            <w:noWrap w:val="0"/>
            <w:vAlign w:val="center"/>
          </w:tcPr>
          <w:p w14:paraId="6D1E01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　　7</w:t>
            </w:r>
          </w:p>
        </w:tc>
        <w:tc>
          <w:tcPr>
            <w:tcW w:w="3690" w:type="dxa"/>
            <w:tcBorders>
              <w:top w:val="nil"/>
              <w:left w:val="nil"/>
              <w:bottom w:val="single" w:color="000000" w:sz="8" w:space="0"/>
              <w:right w:val="single" w:color="000000" w:sz="8" w:space="0"/>
            </w:tcBorders>
            <w:noWrap w:val="0"/>
            <w:vAlign w:val="center"/>
          </w:tcPr>
          <w:p w14:paraId="0002A2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导游员调动所属单位变更备案</w:t>
            </w:r>
          </w:p>
        </w:tc>
        <w:tc>
          <w:tcPr>
            <w:tcW w:w="1515" w:type="dxa"/>
            <w:tcBorders>
              <w:top w:val="nil"/>
              <w:left w:val="nil"/>
              <w:bottom w:val="single" w:color="000000" w:sz="8" w:space="0"/>
              <w:right w:val="single" w:color="000000" w:sz="8" w:space="0"/>
            </w:tcBorders>
            <w:noWrap w:val="0"/>
            <w:vAlign w:val="center"/>
          </w:tcPr>
          <w:p w14:paraId="5960CD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省旅游和文化广电体育厅</w:t>
            </w:r>
          </w:p>
        </w:tc>
        <w:tc>
          <w:tcPr>
            <w:tcW w:w="2280" w:type="dxa"/>
            <w:tcBorders>
              <w:top w:val="nil"/>
              <w:left w:val="nil"/>
              <w:bottom w:val="single" w:color="000000" w:sz="8" w:space="0"/>
              <w:right w:val="single" w:color="000000" w:sz="8" w:space="0"/>
            </w:tcBorders>
            <w:noWrap w:val="0"/>
            <w:vAlign w:val="center"/>
          </w:tcPr>
          <w:p w14:paraId="59ED2D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海口江东新区、海口国家高新技术产业开发区、博鳌乐城国际医疗旅游先行区、文昌国际航天城、陵水黎安国际教育创新试验区</w:t>
            </w:r>
          </w:p>
        </w:tc>
        <w:tc>
          <w:tcPr>
            <w:tcW w:w="1080" w:type="dxa"/>
            <w:tcBorders>
              <w:top w:val="nil"/>
              <w:left w:val="nil"/>
              <w:bottom w:val="single" w:color="000000" w:sz="8" w:space="0"/>
              <w:right w:val="single" w:color="000000" w:sz="8" w:space="0"/>
            </w:tcBorders>
            <w:noWrap w:val="0"/>
            <w:vAlign w:val="center"/>
          </w:tcPr>
          <w:p w14:paraId="70E558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下放</w:t>
            </w:r>
          </w:p>
        </w:tc>
      </w:tr>
      <w:tr w14:paraId="4B41A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nil"/>
              <w:left w:val="single" w:color="000000" w:sz="8" w:space="0"/>
              <w:bottom w:val="single" w:color="000000" w:sz="8" w:space="0"/>
              <w:right w:val="single" w:color="000000" w:sz="8" w:space="0"/>
            </w:tcBorders>
            <w:shd w:val="clear" w:color="auto" w:fill="FFFFFF"/>
            <w:noWrap w:val="0"/>
            <w:vAlign w:val="center"/>
          </w:tcPr>
          <w:p w14:paraId="03E73C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　　8</w:t>
            </w:r>
          </w:p>
        </w:tc>
        <w:tc>
          <w:tcPr>
            <w:tcW w:w="3690" w:type="dxa"/>
            <w:tcBorders>
              <w:top w:val="nil"/>
              <w:left w:val="nil"/>
              <w:bottom w:val="single" w:color="000000" w:sz="8" w:space="0"/>
              <w:right w:val="single" w:color="000000" w:sz="8" w:space="0"/>
            </w:tcBorders>
            <w:noWrap w:val="0"/>
            <w:vAlign w:val="center"/>
          </w:tcPr>
          <w:p w14:paraId="1BBB3E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演出经纪机构从事营业性演出经营活动审批（含设立、延续、变更）</w:t>
            </w:r>
          </w:p>
        </w:tc>
        <w:tc>
          <w:tcPr>
            <w:tcW w:w="1515" w:type="dxa"/>
            <w:tcBorders>
              <w:top w:val="nil"/>
              <w:left w:val="nil"/>
              <w:bottom w:val="single" w:color="000000" w:sz="8" w:space="0"/>
              <w:right w:val="single" w:color="000000" w:sz="8" w:space="0"/>
            </w:tcBorders>
            <w:noWrap w:val="0"/>
            <w:vAlign w:val="center"/>
          </w:tcPr>
          <w:p w14:paraId="0DEC0B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省旅游和文化广电体育厅</w:t>
            </w:r>
          </w:p>
        </w:tc>
        <w:tc>
          <w:tcPr>
            <w:tcW w:w="2280" w:type="dxa"/>
            <w:tcBorders>
              <w:top w:val="nil"/>
              <w:left w:val="nil"/>
              <w:bottom w:val="single" w:color="000000" w:sz="8" w:space="0"/>
              <w:right w:val="single" w:color="000000" w:sz="8" w:space="0"/>
            </w:tcBorders>
            <w:noWrap w:val="0"/>
            <w:vAlign w:val="center"/>
          </w:tcPr>
          <w:p w14:paraId="07BACD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海口国家高新技术产业开发区、三亚中央商务区、海南生态软件园、文昌国际航天城、陵水黎安国际教育创新试验区</w:t>
            </w:r>
          </w:p>
        </w:tc>
        <w:tc>
          <w:tcPr>
            <w:tcW w:w="1080" w:type="dxa"/>
            <w:tcBorders>
              <w:top w:val="nil"/>
              <w:left w:val="nil"/>
              <w:bottom w:val="single" w:color="000000" w:sz="8" w:space="0"/>
              <w:right w:val="single" w:color="000000" w:sz="8" w:space="0"/>
            </w:tcBorders>
            <w:noWrap w:val="0"/>
            <w:vAlign w:val="center"/>
          </w:tcPr>
          <w:p w14:paraId="7305BA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下放</w:t>
            </w:r>
          </w:p>
        </w:tc>
      </w:tr>
      <w:tr w14:paraId="42422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nil"/>
              <w:left w:val="single" w:color="000000" w:sz="8" w:space="0"/>
              <w:bottom w:val="single" w:color="000000" w:sz="8" w:space="0"/>
              <w:right w:val="single" w:color="000000" w:sz="8" w:space="0"/>
            </w:tcBorders>
            <w:shd w:val="clear" w:color="auto" w:fill="FFFFFF"/>
            <w:noWrap w:val="0"/>
            <w:vAlign w:val="center"/>
          </w:tcPr>
          <w:p w14:paraId="6F370A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　　9</w:t>
            </w:r>
          </w:p>
        </w:tc>
        <w:tc>
          <w:tcPr>
            <w:tcW w:w="3690" w:type="dxa"/>
            <w:tcBorders>
              <w:top w:val="nil"/>
              <w:left w:val="nil"/>
              <w:bottom w:val="single" w:color="000000" w:sz="8" w:space="0"/>
              <w:right w:val="single" w:color="000000" w:sz="8" w:space="0"/>
            </w:tcBorders>
            <w:noWrap w:val="0"/>
            <w:vAlign w:val="center"/>
          </w:tcPr>
          <w:p w14:paraId="352379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降低旅游服务质量保证金资格确认</w:t>
            </w:r>
          </w:p>
        </w:tc>
        <w:tc>
          <w:tcPr>
            <w:tcW w:w="1515" w:type="dxa"/>
            <w:tcBorders>
              <w:top w:val="nil"/>
              <w:left w:val="nil"/>
              <w:bottom w:val="single" w:color="000000" w:sz="8" w:space="0"/>
              <w:right w:val="single" w:color="000000" w:sz="8" w:space="0"/>
            </w:tcBorders>
            <w:noWrap w:val="0"/>
            <w:vAlign w:val="center"/>
          </w:tcPr>
          <w:p w14:paraId="03E30A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省旅游和文化广电体育厅</w:t>
            </w:r>
          </w:p>
        </w:tc>
        <w:tc>
          <w:tcPr>
            <w:tcW w:w="2280" w:type="dxa"/>
            <w:tcBorders>
              <w:top w:val="nil"/>
              <w:left w:val="nil"/>
              <w:bottom w:val="single" w:color="000000" w:sz="8" w:space="0"/>
              <w:right w:val="single" w:color="000000" w:sz="8" w:space="0"/>
            </w:tcBorders>
            <w:noWrap w:val="0"/>
            <w:vAlign w:val="center"/>
          </w:tcPr>
          <w:p w14:paraId="0C06AC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海口江东新区、海口国家高新技术产业开发区、博鳌乐城国际医疗旅游先行区、文昌国际航天城、陵水黎安国际教育创新试验区</w:t>
            </w:r>
          </w:p>
        </w:tc>
        <w:tc>
          <w:tcPr>
            <w:tcW w:w="1080" w:type="dxa"/>
            <w:tcBorders>
              <w:top w:val="nil"/>
              <w:left w:val="nil"/>
              <w:bottom w:val="single" w:color="000000" w:sz="8" w:space="0"/>
              <w:right w:val="single" w:color="000000" w:sz="8" w:space="0"/>
            </w:tcBorders>
            <w:noWrap w:val="0"/>
            <w:vAlign w:val="center"/>
          </w:tcPr>
          <w:p w14:paraId="64F6A4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下放</w:t>
            </w:r>
          </w:p>
        </w:tc>
      </w:tr>
      <w:tr w14:paraId="0529D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nil"/>
              <w:left w:val="single" w:color="000000" w:sz="8" w:space="0"/>
              <w:bottom w:val="single" w:color="000000" w:sz="8" w:space="0"/>
              <w:right w:val="single" w:color="000000" w:sz="8" w:space="0"/>
            </w:tcBorders>
            <w:shd w:val="clear" w:color="auto" w:fill="FFFFFF"/>
            <w:noWrap w:val="0"/>
            <w:vAlign w:val="center"/>
          </w:tcPr>
          <w:p w14:paraId="674E3C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　　10</w:t>
            </w:r>
          </w:p>
        </w:tc>
        <w:tc>
          <w:tcPr>
            <w:tcW w:w="3690" w:type="dxa"/>
            <w:tcBorders>
              <w:top w:val="nil"/>
              <w:left w:val="nil"/>
              <w:bottom w:val="single" w:color="000000" w:sz="8" w:space="0"/>
              <w:right w:val="single" w:color="000000" w:sz="8" w:space="0"/>
            </w:tcBorders>
            <w:noWrap w:val="0"/>
            <w:vAlign w:val="center"/>
          </w:tcPr>
          <w:p w14:paraId="3F0524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医疗机构执业登记审批（不含互联网医院）</w:t>
            </w:r>
          </w:p>
        </w:tc>
        <w:tc>
          <w:tcPr>
            <w:tcW w:w="1515" w:type="dxa"/>
            <w:tcBorders>
              <w:top w:val="nil"/>
              <w:left w:val="nil"/>
              <w:bottom w:val="single" w:color="000000" w:sz="8" w:space="0"/>
              <w:right w:val="single" w:color="000000" w:sz="8" w:space="0"/>
            </w:tcBorders>
            <w:noWrap w:val="0"/>
            <w:vAlign w:val="center"/>
          </w:tcPr>
          <w:p w14:paraId="1AEB53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省卫生健康委员会</w:t>
            </w:r>
          </w:p>
        </w:tc>
        <w:tc>
          <w:tcPr>
            <w:tcW w:w="2280" w:type="dxa"/>
            <w:tcBorders>
              <w:top w:val="nil"/>
              <w:left w:val="nil"/>
              <w:bottom w:val="single" w:color="000000" w:sz="8" w:space="0"/>
              <w:right w:val="single" w:color="000000" w:sz="8" w:space="0"/>
            </w:tcBorders>
            <w:noWrap w:val="0"/>
            <w:vAlign w:val="center"/>
          </w:tcPr>
          <w:p w14:paraId="0F9A43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博鳌乐城国际医疗旅游先行区</w:t>
            </w:r>
          </w:p>
        </w:tc>
        <w:tc>
          <w:tcPr>
            <w:tcW w:w="1080" w:type="dxa"/>
            <w:tcBorders>
              <w:top w:val="nil"/>
              <w:left w:val="nil"/>
              <w:bottom w:val="single" w:color="000000" w:sz="8" w:space="0"/>
              <w:right w:val="single" w:color="000000" w:sz="8" w:space="0"/>
            </w:tcBorders>
            <w:noWrap w:val="0"/>
            <w:vAlign w:val="center"/>
          </w:tcPr>
          <w:p w14:paraId="2B76F7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下放</w:t>
            </w:r>
          </w:p>
        </w:tc>
      </w:tr>
      <w:tr w14:paraId="75B6F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nil"/>
              <w:left w:val="single" w:color="000000" w:sz="8" w:space="0"/>
              <w:bottom w:val="single" w:color="000000" w:sz="8" w:space="0"/>
              <w:right w:val="single" w:color="000000" w:sz="8" w:space="0"/>
            </w:tcBorders>
            <w:shd w:val="clear" w:color="auto" w:fill="FFFFFF"/>
            <w:noWrap w:val="0"/>
            <w:vAlign w:val="center"/>
          </w:tcPr>
          <w:p w14:paraId="418F25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　　11</w:t>
            </w:r>
          </w:p>
        </w:tc>
        <w:tc>
          <w:tcPr>
            <w:tcW w:w="3690" w:type="dxa"/>
            <w:tcBorders>
              <w:top w:val="nil"/>
              <w:left w:val="nil"/>
              <w:bottom w:val="single" w:color="000000" w:sz="8" w:space="0"/>
              <w:right w:val="single" w:color="000000" w:sz="8" w:space="0"/>
            </w:tcBorders>
            <w:noWrap w:val="0"/>
            <w:vAlign w:val="center"/>
          </w:tcPr>
          <w:p w14:paraId="7A5B15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社会办医疗机构甲类大型医用设备配置许可</w:t>
            </w:r>
          </w:p>
        </w:tc>
        <w:tc>
          <w:tcPr>
            <w:tcW w:w="1515" w:type="dxa"/>
            <w:tcBorders>
              <w:top w:val="nil"/>
              <w:left w:val="nil"/>
              <w:bottom w:val="single" w:color="000000" w:sz="8" w:space="0"/>
              <w:right w:val="single" w:color="000000" w:sz="8" w:space="0"/>
            </w:tcBorders>
            <w:noWrap w:val="0"/>
            <w:vAlign w:val="center"/>
          </w:tcPr>
          <w:p w14:paraId="31D0DE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省卫生健康委员会</w:t>
            </w:r>
          </w:p>
        </w:tc>
        <w:tc>
          <w:tcPr>
            <w:tcW w:w="2280" w:type="dxa"/>
            <w:tcBorders>
              <w:top w:val="nil"/>
              <w:left w:val="nil"/>
              <w:bottom w:val="single" w:color="000000" w:sz="8" w:space="0"/>
              <w:right w:val="single" w:color="000000" w:sz="8" w:space="0"/>
            </w:tcBorders>
            <w:noWrap w:val="0"/>
            <w:vAlign w:val="center"/>
          </w:tcPr>
          <w:p w14:paraId="094BAD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博鳌乐城国际医疗旅游先行区</w:t>
            </w:r>
          </w:p>
        </w:tc>
        <w:tc>
          <w:tcPr>
            <w:tcW w:w="1080" w:type="dxa"/>
            <w:tcBorders>
              <w:top w:val="nil"/>
              <w:left w:val="nil"/>
              <w:bottom w:val="single" w:color="000000" w:sz="8" w:space="0"/>
              <w:right w:val="single" w:color="000000" w:sz="8" w:space="0"/>
            </w:tcBorders>
            <w:noWrap w:val="0"/>
            <w:vAlign w:val="center"/>
          </w:tcPr>
          <w:p w14:paraId="3351B3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委托</w:t>
            </w:r>
          </w:p>
        </w:tc>
      </w:tr>
      <w:tr w14:paraId="41DDC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nil"/>
              <w:left w:val="single" w:color="000000" w:sz="8" w:space="0"/>
              <w:bottom w:val="single" w:color="000000" w:sz="8" w:space="0"/>
              <w:right w:val="single" w:color="000000" w:sz="8" w:space="0"/>
            </w:tcBorders>
            <w:shd w:val="clear" w:color="auto" w:fill="FFFFFF"/>
            <w:noWrap w:val="0"/>
            <w:vAlign w:val="center"/>
          </w:tcPr>
          <w:p w14:paraId="534946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　　12</w:t>
            </w:r>
          </w:p>
        </w:tc>
        <w:tc>
          <w:tcPr>
            <w:tcW w:w="3690" w:type="dxa"/>
            <w:tcBorders>
              <w:top w:val="nil"/>
              <w:left w:val="nil"/>
              <w:bottom w:val="single" w:color="000000" w:sz="8" w:space="0"/>
              <w:right w:val="single" w:color="000000" w:sz="8" w:space="0"/>
            </w:tcBorders>
            <w:noWrap w:val="0"/>
            <w:vAlign w:val="center"/>
          </w:tcPr>
          <w:p w14:paraId="097F3A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社会办医疗机构配置乙类大型医用设备备案</w:t>
            </w:r>
          </w:p>
        </w:tc>
        <w:tc>
          <w:tcPr>
            <w:tcW w:w="1515" w:type="dxa"/>
            <w:tcBorders>
              <w:top w:val="nil"/>
              <w:left w:val="nil"/>
              <w:bottom w:val="single" w:color="000000" w:sz="8" w:space="0"/>
              <w:right w:val="single" w:color="000000" w:sz="8" w:space="0"/>
            </w:tcBorders>
            <w:noWrap w:val="0"/>
            <w:vAlign w:val="center"/>
          </w:tcPr>
          <w:p w14:paraId="6B6250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省卫生健康委员会</w:t>
            </w:r>
          </w:p>
        </w:tc>
        <w:tc>
          <w:tcPr>
            <w:tcW w:w="2280" w:type="dxa"/>
            <w:tcBorders>
              <w:top w:val="nil"/>
              <w:left w:val="nil"/>
              <w:bottom w:val="single" w:color="000000" w:sz="8" w:space="0"/>
              <w:right w:val="single" w:color="000000" w:sz="8" w:space="0"/>
            </w:tcBorders>
            <w:noWrap w:val="0"/>
            <w:vAlign w:val="center"/>
          </w:tcPr>
          <w:p w14:paraId="5CC79C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博鳌乐城国际医疗旅游先行区、海南生态软件园</w:t>
            </w:r>
          </w:p>
        </w:tc>
        <w:tc>
          <w:tcPr>
            <w:tcW w:w="1080" w:type="dxa"/>
            <w:tcBorders>
              <w:top w:val="nil"/>
              <w:left w:val="nil"/>
              <w:bottom w:val="single" w:color="000000" w:sz="8" w:space="0"/>
              <w:right w:val="single" w:color="000000" w:sz="8" w:space="0"/>
            </w:tcBorders>
            <w:noWrap w:val="0"/>
            <w:vAlign w:val="center"/>
          </w:tcPr>
          <w:p w14:paraId="18F877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下放</w:t>
            </w:r>
          </w:p>
        </w:tc>
      </w:tr>
      <w:tr w14:paraId="44090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nil"/>
              <w:left w:val="single" w:color="000000" w:sz="8" w:space="0"/>
              <w:bottom w:val="single" w:color="000000" w:sz="8" w:space="0"/>
              <w:right w:val="single" w:color="000000" w:sz="8" w:space="0"/>
            </w:tcBorders>
            <w:shd w:val="clear" w:color="auto" w:fill="FFFFFF"/>
            <w:noWrap w:val="0"/>
            <w:vAlign w:val="center"/>
          </w:tcPr>
          <w:p w14:paraId="09904C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　　13</w:t>
            </w:r>
          </w:p>
        </w:tc>
        <w:tc>
          <w:tcPr>
            <w:tcW w:w="3690" w:type="dxa"/>
            <w:tcBorders>
              <w:top w:val="nil"/>
              <w:left w:val="nil"/>
              <w:bottom w:val="single" w:color="000000" w:sz="8" w:space="0"/>
              <w:right w:val="single" w:color="000000" w:sz="8" w:space="0"/>
            </w:tcBorders>
            <w:noWrap w:val="0"/>
            <w:vAlign w:val="center"/>
          </w:tcPr>
          <w:p w14:paraId="08CE53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外国人野外考察国家重点保护野生植物审批</w:t>
            </w:r>
          </w:p>
        </w:tc>
        <w:tc>
          <w:tcPr>
            <w:tcW w:w="1515" w:type="dxa"/>
            <w:tcBorders>
              <w:top w:val="nil"/>
              <w:left w:val="nil"/>
              <w:bottom w:val="single" w:color="000000" w:sz="8" w:space="0"/>
              <w:right w:val="single" w:color="000000" w:sz="8" w:space="0"/>
            </w:tcBorders>
            <w:noWrap w:val="0"/>
            <w:vAlign w:val="center"/>
          </w:tcPr>
          <w:p w14:paraId="1A7B62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省农业农村厅</w:t>
            </w:r>
          </w:p>
        </w:tc>
        <w:tc>
          <w:tcPr>
            <w:tcW w:w="2280" w:type="dxa"/>
            <w:tcBorders>
              <w:top w:val="nil"/>
              <w:left w:val="nil"/>
              <w:bottom w:val="single" w:color="000000" w:sz="8" w:space="0"/>
              <w:right w:val="single" w:color="000000" w:sz="8" w:space="0"/>
            </w:tcBorders>
            <w:noWrap w:val="0"/>
            <w:vAlign w:val="center"/>
          </w:tcPr>
          <w:p w14:paraId="758F73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三亚崖州湾科技城</w:t>
            </w:r>
          </w:p>
        </w:tc>
        <w:tc>
          <w:tcPr>
            <w:tcW w:w="1080" w:type="dxa"/>
            <w:tcBorders>
              <w:top w:val="nil"/>
              <w:left w:val="nil"/>
              <w:bottom w:val="single" w:color="000000" w:sz="8" w:space="0"/>
              <w:right w:val="single" w:color="000000" w:sz="8" w:space="0"/>
            </w:tcBorders>
            <w:noWrap w:val="0"/>
            <w:vAlign w:val="center"/>
          </w:tcPr>
          <w:p w14:paraId="5B1772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委托</w:t>
            </w:r>
          </w:p>
        </w:tc>
      </w:tr>
      <w:tr w14:paraId="0155A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nil"/>
              <w:left w:val="single" w:color="000000" w:sz="8" w:space="0"/>
              <w:bottom w:val="single" w:color="000000" w:sz="8" w:space="0"/>
              <w:right w:val="single" w:color="000000" w:sz="8" w:space="0"/>
            </w:tcBorders>
            <w:shd w:val="clear" w:color="auto" w:fill="FFFFFF"/>
            <w:noWrap w:val="0"/>
            <w:vAlign w:val="center"/>
          </w:tcPr>
          <w:p w14:paraId="01D82E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　　14</w:t>
            </w:r>
          </w:p>
        </w:tc>
        <w:tc>
          <w:tcPr>
            <w:tcW w:w="3690" w:type="dxa"/>
            <w:tcBorders>
              <w:top w:val="nil"/>
              <w:left w:val="nil"/>
              <w:bottom w:val="single" w:color="000000" w:sz="8" w:space="0"/>
              <w:right w:val="single" w:color="000000" w:sz="8" w:space="0"/>
            </w:tcBorders>
            <w:shd w:val="clear" w:color="auto" w:fill="FFFFFF"/>
            <w:noWrap w:val="0"/>
            <w:vAlign w:val="center"/>
          </w:tcPr>
          <w:p w14:paraId="1DE1C1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民办普通高中、民办中等职业学校以捐赠者姓名或者名称作为校名的审批</w:t>
            </w:r>
          </w:p>
        </w:tc>
        <w:tc>
          <w:tcPr>
            <w:tcW w:w="1515" w:type="dxa"/>
            <w:tcBorders>
              <w:top w:val="nil"/>
              <w:left w:val="nil"/>
              <w:bottom w:val="single" w:color="000000" w:sz="8" w:space="0"/>
              <w:right w:val="single" w:color="000000" w:sz="8" w:space="0"/>
            </w:tcBorders>
            <w:shd w:val="clear" w:color="auto" w:fill="FFFFFF"/>
            <w:noWrap w:val="0"/>
            <w:vAlign w:val="center"/>
          </w:tcPr>
          <w:p w14:paraId="616AAB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省教育厅</w:t>
            </w:r>
          </w:p>
        </w:tc>
        <w:tc>
          <w:tcPr>
            <w:tcW w:w="2280" w:type="dxa"/>
            <w:tcBorders>
              <w:top w:val="nil"/>
              <w:left w:val="nil"/>
              <w:bottom w:val="single" w:color="000000" w:sz="8" w:space="0"/>
              <w:right w:val="single" w:color="000000" w:sz="8" w:space="0"/>
            </w:tcBorders>
            <w:shd w:val="clear" w:color="auto" w:fill="FFFFFF"/>
            <w:noWrap w:val="0"/>
            <w:vAlign w:val="center"/>
          </w:tcPr>
          <w:p w14:paraId="721525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洋浦经济开发区、海口江东新区</w:t>
            </w:r>
          </w:p>
        </w:tc>
        <w:tc>
          <w:tcPr>
            <w:tcW w:w="1080" w:type="dxa"/>
            <w:tcBorders>
              <w:top w:val="nil"/>
              <w:left w:val="nil"/>
              <w:bottom w:val="single" w:color="000000" w:sz="8" w:space="0"/>
              <w:right w:val="single" w:color="000000" w:sz="8" w:space="0"/>
            </w:tcBorders>
            <w:shd w:val="clear" w:color="auto" w:fill="FFFFFF"/>
            <w:noWrap w:val="0"/>
            <w:vAlign w:val="center"/>
          </w:tcPr>
          <w:p w14:paraId="49ECA9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下放</w:t>
            </w:r>
          </w:p>
        </w:tc>
      </w:tr>
      <w:tr w14:paraId="16594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nil"/>
              <w:left w:val="single" w:color="000000" w:sz="8" w:space="0"/>
              <w:bottom w:val="single" w:color="000000" w:sz="8" w:space="0"/>
              <w:right w:val="single" w:color="000000" w:sz="8" w:space="0"/>
            </w:tcBorders>
            <w:shd w:val="clear" w:color="auto" w:fill="FFFFFF"/>
            <w:noWrap w:val="0"/>
            <w:vAlign w:val="center"/>
          </w:tcPr>
          <w:p w14:paraId="20E9D7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　　15</w:t>
            </w:r>
          </w:p>
        </w:tc>
        <w:tc>
          <w:tcPr>
            <w:tcW w:w="3690" w:type="dxa"/>
            <w:tcBorders>
              <w:top w:val="nil"/>
              <w:left w:val="nil"/>
              <w:bottom w:val="single" w:color="000000" w:sz="8" w:space="0"/>
              <w:right w:val="single" w:color="000000" w:sz="8" w:space="0"/>
            </w:tcBorders>
            <w:shd w:val="clear" w:color="auto" w:fill="auto"/>
            <w:noWrap w:val="0"/>
            <w:vAlign w:val="center"/>
          </w:tcPr>
          <w:p w14:paraId="4206BB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设立普通技工学校、高级技工学校审批</w:t>
            </w:r>
          </w:p>
        </w:tc>
        <w:tc>
          <w:tcPr>
            <w:tcW w:w="1515" w:type="dxa"/>
            <w:tcBorders>
              <w:top w:val="nil"/>
              <w:left w:val="nil"/>
              <w:bottom w:val="single" w:color="000000" w:sz="8" w:space="0"/>
              <w:right w:val="single" w:color="000000" w:sz="8" w:space="0"/>
            </w:tcBorders>
            <w:shd w:val="clear" w:color="auto" w:fill="FFFFFF"/>
            <w:noWrap w:val="0"/>
            <w:vAlign w:val="center"/>
          </w:tcPr>
          <w:p w14:paraId="05A354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省人力资源和社会保障厅</w:t>
            </w:r>
          </w:p>
        </w:tc>
        <w:tc>
          <w:tcPr>
            <w:tcW w:w="2280" w:type="dxa"/>
            <w:tcBorders>
              <w:top w:val="nil"/>
              <w:left w:val="nil"/>
              <w:bottom w:val="single" w:color="000000" w:sz="8" w:space="0"/>
              <w:right w:val="single" w:color="000000" w:sz="8" w:space="0"/>
            </w:tcBorders>
            <w:shd w:val="clear" w:color="auto" w:fill="FFFFFF"/>
            <w:noWrap w:val="0"/>
            <w:vAlign w:val="center"/>
          </w:tcPr>
          <w:p w14:paraId="7C56A5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洋浦经济开发区、文昌国际航天城</w:t>
            </w:r>
          </w:p>
        </w:tc>
        <w:tc>
          <w:tcPr>
            <w:tcW w:w="1080" w:type="dxa"/>
            <w:tcBorders>
              <w:top w:val="nil"/>
              <w:left w:val="nil"/>
              <w:bottom w:val="single" w:color="000000" w:sz="8" w:space="0"/>
              <w:right w:val="single" w:color="000000" w:sz="8" w:space="0"/>
            </w:tcBorders>
            <w:shd w:val="clear" w:color="auto" w:fill="FFFFFF"/>
            <w:noWrap w:val="0"/>
            <w:vAlign w:val="center"/>
          </w:tcPr>
          <w:p w14:paraId="754240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下放</w:t>
            </w:r>
          </w:p>
        </w:tc>
      </w:tr>
      <w:tr w14:paraId="6C27B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nil"/>
              <w:left w:val="single" w:color="000000" w:sz="8" w:space="0"/>
              <w:bottom w:val="single" w:color="000000" w:sz="8" w:space="0"/>
              <w:right w:val="single" w:color="000000" w:sz="8" w:space="0"/>
            </w:tcBorders>
            <w:shd w:val="clear" w:color="auto" w:fill="FFFFFF"/>
            <w:noWrap w:val="0"/>
            <w:vAlign w:val="center"/>
          </w:tcPr>
          <w:p w14:paraId="0CD19C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　　16</w:t>
            </w:r>
          </w:p>
        </w:tc>
        <w:tc>
          <w:tcPr>
            <w:tcW w:w="3690" w:type="dxa"/>
            <w:tcBorders>
              <w:top w:val="nil"/>
              <w:left w:val="nil"/>
              <w:bottom w:val="single" w:color="000000" w:sz="8" w:space="0"/>
              <w:right w:val="single" w:color="000000" w:sz="8" w:space="0"/>
            </w:tcBorders>
            <w:noWrap w:val="0"/>
            <w:vAlign w:val="center"/>
          </w:tcPr>
          <w:p w14:paraId="25FA91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建设行业注册类人员（二级注册建筑师）执业资格的确认（初始、延续、变更注册）</w:t>
            </w:r>
          </w:p>
        </w:tc>
        <w:tc>
          <w:tcPr>
            <w:tcW w:w="1515" w:type="dxa"/>
            <w:tcBorders>
              <w:top w:val="nil"/>
              <w:left w:val="nil"/>
              <w:bottom w:val="single" w:color="000000" w:sz="8" w:space="0"/>
              <w:right w:val="single" w:color="000000" w:sz="8" w:space="0"/>
            </w:tcBorders>
            <w:noWrap w:val="0"/>
            <w:vAlign w:val="center"/>
          </w:tcPr>
          <w:p w14:paraId="06407A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省住房和城乡建设厅</w:t>
            </w:r>
          </w:p>
        </w:tc>
        <w:tc>
          <w:tcPr>
            <w:tcW w:w="2280" w:type="dxa"/>
            <w:tcBorders>
              <w:top w:val="nil"/>
              <w:left w:val="nil"/>
              <w:bottom w:val="single" w:color="000000" w:sz="8" w:space="0"/>
              <w:right w:val="single" w:color="000000" w:sz="8" w:space="0"/>
            </w:tcBorders>
            <w:noWrap w:val="0"/>
            <w:vAlign w:val="center"/>
          </w:tcPr>
          <w:p w14:paraId="2FFD5C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洋浦经济开发区、海口江东新区、海口国家高新技术产业开发区、海口综合保税区、三亚中央商务区、海南生态软件园、陵水黎安国际教育创新试验区</w:t>
            </w:r>
          </w:p>
        </w:tc>
        <w:tc>
          <w:tcPr>
            <w:tcW w:w="1080" w:type="dxa"/>
            <w:tcBorders>
              <w:top w:val="nil"/>
              <w:left w:val="nil"/>
              <w:bottom w:val="single" w:color="000000" w:sz="8" w:space="0"/>
              <w:right w:val="single" w:color="000000" w:sz="8" w:space="0"/>
            </w:tcBorders>
            <w:noWrap w:val="0"/>
            <w:vAlign w:val="center"/>
          </w:tcPr>
          <w:p w14:paraId="26AAFB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委托</w:t>
            </w:r>
          </w:p>
        </w:tc>
      </w:tr>
      <w:tr w14:paraId="5DEAE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nil"/>
              <w:left w:val="single" w:color="000000" w:sz="8" w:space="0"/>
              <w:bottom w:val="single" w:color="000000" w:sz="8" w:space="0"/>
              <w:right w:val="single" w:color="000000" w:sz="8" w:space="0"/>
            </w:tcBorders>
            <w:shd w:val="clear" w:color="auto" w:fill="FFFFFF"/>
            <w:noWrap w:val="0"/>
            <w:vAlign w:val="center"/>
          </w:tcPr>
          <w:p w14:paraId="3FB830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　　17</w:t>
            </w:r>
          </w:p>
        </w:tc>
        <w:tc>
          <w:tcPr>
            <w:tcW w:w="3690" w:type="dxa"/>
            <w:tcBorders>
              <w:top w:val="nil"/>
              <w:left w:val="nil"/>
              <w:bottom w:val="single" w:color="000000" w:sz="8" w:space="0"/>
              <w:right w:val="single" w:color="000000" w:sz="8" w:space="0"/>
            </w:tcBorders>
            <w:noWrap w:val="0"/>
            <w:vAlign w:val="center"/>
          </w:tcPr>
          <w:p w14:paraId="071194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超限高层建筑工程抗震设防核准</w:t>
            </w:r>
          </w:p>
        </w:tc>
        <w:tc>
          <w:tcPr>
            <w:tcW w:w="1515" w:type="dxa"/>
            <w:tcBorders>
              <w:top w:val="nil"/>
              <w:left w:val="nil"/>
              <w:bottom w:val="single" w:color="000000" w:sz="8" w:space="0"/>
              <w:right w:val="single" w:color="000000" w:sz="8" w:space="0"/>
            </w:tcBorders>
            <w:noWrap w:val="0"/>
            <w:vAlign w:val="center"/>
          </w:tcPr>
          <w:p w14:paraId="2995B2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省住房和城乡建设厅</w:t>
            </w:r>
          </w:p>
        </w:tc>
        <w:tc>
          <w:tcPr>
            <w:tcW w:w="2280" w:type="dxa"/>
            <w:tcBorders>
              <w:top w:val="nil"/>
              <w:left w:val="nil"/>
              <w:bottom w:val="single" w:color="000000" w:sz="8" w:space="0"/>
              <w:right w:val="single" w:color="000000" w:sz="8" w:space="0"/>
            </w:tcBorders>
            <w:noWrap w:val="0"/>
            <w:vAlign w:val="center"/>
          </w:tcPr>
          <w:p w14:paraId="57B84E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sans-serif" w:hAnsi="sans-serif" w:cs="sans-serif"/>
                <w:sz w:val="21"/>
                <w:szCs w:val="21"/>
                <w:u w:val="none"/>
              </w:rPr>
            </w:pPr>
            <w:r>
              <w:rPr>
                <w:rFonts w:hint="eastAsia" w:ascii="宋体" w:hAnsi="宋体" w:eastAsia="宋体" w:cs="宋体"/>
                <w:sz w:val="24"/>
                <w:szCs w:val="24"/>
                <w:u w:val="none"/>
              </w:rPr>
              <w:t>洋浦经济开发区、海口江东新区、海口国家高新技术产业开发区、海口综合保税区、三亚崖州湾科技城、三亚中央商务区、文昌国际航天城、海南生态软件园、陵水黎安国际教育创新试验区</w:t>
            </w:r>
          </w:p>
        </w:tc>
        <w:tc>
          <w:tcPr>
            <w:tcW w:w="1080" w:type="dxa"/>
            <w:tcBorders>
              <w:top w:val="nil"/>
              <w:left w:val="nil"/>
              <w:bottom w:val="single" w:color="000000" w:sz="8" w:space="0"/>
              <w:right w:val="single" w:color="000000" w:sz="8" w:space="0"/>
            </w:tcBorders>
            <w:noWrap w:val="0"/>
            <w:vAlign w:val="center"/>
          </w:tcPr>
          <w:p w14:paraId="49170E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sans-serif" w:hAnsi="sans-serif" w:cs="sans-serif"/>
                <w:sz w:val="21"/>
                <w:szCs w:val="21"/>
                <w:u w:val="none"/>
              </w:rPr>
            </w:pPr>
            <w:r>
              <w:rPr>
                <w:rFonts w:hint="eastAsia" w:ascii="宋体" w:hAnsi="宋体" w:eastAsia="宋体" w:cs="宋体"/>
                <w:sz w:val="24"/>
                <w:szCs w:val="24"/>
                <w:u w:val="none"/>
              </w:rPr>
              <w:t>委托</w:t>
            </w:r>
          </w:p>
        </w:tc>
      </w:tr>
    </w:tbl>
    <w:p w14:paraId="5EBC953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7007"/>
    <w:rsid w:val="08F04B76"/>
    <w:rsid w:val="7FFF70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2022</Words>
  <Characters>2046</Characters>
  <Lines>0</Lines>
  <Paragraphs>0</Paragraphs>
  <TotalTime>1</TotalTime>
  <ScaleCrop>false</ScaleCrop>
  <LinksUpToDate>false</LinksUpToDate>
  <CharactersWithSpaces>2081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2024-10-12T11:43:00Z</dcterms:created>
  <dc:creator>user</dc:creator>
  <cp:lastModifiedBy>海南省旅游协会</cp:lastModifiedBy>
  <dcterms:modified xsi:type="dcterms:W3CDTF">2024-10-12T06:55:33Z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5145FA4F05A04586B6955CBA62C473CA_13</vt:lpwstr>
  </property>
</Properties>
</file>